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Названы три основные причины провести межевание земельного участка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земли. Межевание – добровольная процедура, и отсутствие в Едином государственном реестре недвижимости (ЕГРН) сведений о местоположении границ земельного участка 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Федеральная кадастровая палата назвала три причины, по которым стоит установить границы земельного участка.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1. Снизить риск возникновения земельных споров с соседями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Благодаря проведенному межеванию собственнику удастся в будущем избежать споров с соседями о границах участков. Так,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 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2. Возможность разделить участок для продажи, дарения или передачи по наследству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Правообладатель имеет право разделить земельный участок, чтобы в дальнейшем распорядится только его частью: продать, подарить, передать по наследству. </w:t>
      </w:r>
      <w:r w:rsidRPr="0012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после внесения в ЕГРН сведений об уточненных границах участка можно приступать к дальнейшему его разделу. 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Причина 3. Повысить привлекательность объекта недвижимости для приобретателя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 </w:t>
      </w:r>
      <w:hyperlink r:id="rId9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заказав выписку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СПРАВОЧНО: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>Межевой план вместе с заявлением о постановке на кадастровый учет необходимо представить в ближайший офис МФЦ. Внесение сведений о границах земельного участка в ЕГРН производится без взимания госпошлины.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</w:rPr>
        <w:t>Несмотря на то, что межевание не является обязательной процедурой, число земельных участков, границы которых определены, в России с каждым годом растет. На сегодня число участков с установленными границами в ЕГРН достигло 36,9 млн (или 60,6 %). Так, межевание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Уточнение границ земельных участков также проводится при комплексных кадастровых работах. Заказчиками таких работ выступают органы местного самоуправления или органы исполнительной власти субъекта Российской Федерации.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В настоящее время Госдумой в первом чтении принят </w:t>
      </w:r>
      <w:hyperlink r:id="rId10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о возможности проведения комплексных кадастровых работ за счет внебюджетных средств. В случае утверждения законопроекта заказчиками комплексных кадастровых работ смогут выступать граждане и юридические лица. В рамках 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10" w:rsidRDefault="00FD2C10" w:rsidP="00ED30C5">
      <w:pPr>
        <w:spacing w:after="0" w:line="240" w:lineRule="auto"/>
      </w:pPr>
      <w:r>
        <w:separator/>
      </w:r>
    </w:p>
  </w:endnote>
  <w:endnote w:type="continuationSeparator" w:id="0">
    <w:p w:rsidR="00FD2C10" w:rsidRDefault="00FD2C1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10" w:rsidRDefault="00FD2C10" w:rsidP="00ED30C5">
      <w:pPr>
        <w:spacing w:after="0" w:line="240" w:lineRule="auto"/>
      </w:pPr>
      <w:r>
        <w:separator/>
      </w:r>
    </w:p>
  </w:footnote>
  <w:footnote w:type="continuationSeparator" w:id="0">
    <w:p w:rsidR="00FD2C10" w:rsidRDefault="00FD2C1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84050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AB22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40567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268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1F58"/>
    <w:rsid w:val="001724C4"/>
    <w:rsid w:val="001737A2"/>
    <w:rsid w:val="00175F9F"/>
    <w:rsid w:val="00176052"/>
    <w:rsid w:val="0018206A"/>
    <w:rsid w:val="001838F3"/>
    <w:rsid w:val="00184050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39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CDB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227A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072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0D49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2C1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gosduma-prinyala-v-pervom-chtenii-zakonoproekt-o-vozmozhnosti-provedeniya-kompleksnykh-kadastrovykh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EF66-3287-4223-BC5B-4EFD1F7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2020-08-05T07:29:00Z</dcterms:modified>
</cp:coreProperties>
</file>